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BEE" w:rsidRDefault="000B268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b/>
        </w:rPr>
        <w:t xml:space="preserve"> Stage 1 – Desired Results</w:t>
      </w: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72BEE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BEE" w:rsidRDefault="000B26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Established Goal(s)/Content Standard(s):</w:t>
            </w:r>
          </w:p>
          <w:p w:rsidR="00172BEE" w:rsidRPr="00122BA3" w:rsidRDefault="000B2684" w:rsidP="00122BA3">
            <w:pPr>
              <w:pStyle w:val="ListParagraph"/>
              <w:numPr>
                <w:ilvl w:val="0"/>
                <w:numId w:val="9"/>
              </w:numPr>
            </w:pPr>
            <w:r w:rsidRPr="00122BA3">
              <w:t xml:space="preserve">What relevant goals will this design address? </w:t>
            </w:r>
            <w:r w:rsidRPr="00122BA3">
              <w:rPr>
                <w:color w:val="C00000"/>
              </w:rPr>
              <w:t>[Comes from professional standards in your field]</w:t>
            </w:r>
          </w:p>
        </w:tc>
      </w:tr>
    </w:tbl>
    <w:p w:rsidR="00172BEE" w:rsidRDefault="00172BE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tbl>
      <w:tblPr>
        <w:tblStyle w:val="a0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172BEE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BEE" w:rsidRDefault="000B26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Understanding (s)</w:t>
            </w:r>
          </w:p>
          <w:p w:rsidR="00172BEE" w:rsidRDefault="000B26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Students will understand that:</w:t>
            </w:r>
          </w:p>
          <w:p w:rsidR="00172BEE" w:rsidRDefault="000B268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What are the big ideas?  </w:t>
            </w:r>
            <w:r>
              <w:rPr>
                <w:color w:val="C00000"/>
                <w:sz w:val="20"/>
                <w:szCs w:val="20"/>
              </w:rPr>
              <w:t>[This is a goal, not an objective.  List the big ideas or concepts that yo</w:t>
            </w:r>
            <w:bookmarkStart w:id="0" w:name="_GoBack"/>
            <w:bookmarkEnd w:id="0"/>
            <w:r>
              <w:rPr>
                <w:color w:val="C00000"/>
                <w:sz w:val="20"/>
                <w:szCs w:val="20"/>
              </w:rPr>
              <w:t>u want them to come away with, not facts that they must know]</w:t>
            </w:r>
          </w:p>
          <w:p w:rsidR="00172BEE" w:rsidRDefault="000B268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What specific understandings about them are desired?</w:t>
            </w:r>
          </w:p>
          <w:p w:rsidR="00172BEE" w:rsidRDefault="000B268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Tahoma" w:eastAsia="Tahoma" w:hAnsi="Tahoma" w:cs="Tahoma"/>
              </w:rPr>
              <w:t>What misunderstandings are predictable?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BEE" w:rsidRDefault="000B26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Essential Question(s):</w:t>
            </w:r>
          </w:p>
          <w:p w:rsidR="00172BEE" w:rsidRDefault="000B268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Tahoma" w:eastAsia="Tahoma" w:hAnsi="Tahoma" w:cs="Tahoma"/>
              </w:rPr>
              <w:t>Wha</w:t>
            </w:r>
            <w:r>
              <w:rPr>
                <w:rFonts w:ascii="Tahoma" w:eastAsia="Tahoma" w:hAnsi="Tahoma" w:cs="Tahoma"/>
              </w:rPr>
              <w:t xml:space="preserve">t provocative questions will foster inquiry, understanding, and transfer the learning? </w:t>
            </w:r>
            <w:r>
              <w:rPr>
                <w:rFonts w:ascii="Tahoma" w:eastAsia="Tahoma" w:hAnsi="Tahoma" w:cs="Tahoma"/>
                <w:color w:val="C00000"/>
                <w:sz w:val="20"/>
                <w:szCs w:val="20"/>
              </w:rPr>
              <w:t xml:space="preserve">[What leading questions can you ask of students to get them to understand the Big Ideas?  Address the heart of the discipline, are framed to provoke and sustain </w:t>
            </w:r>
            <w:proofErr w:type="gramStart"/>
            <w:r>
              <w:rPr>
                <w:rFonts w:ascii="Tahoma" w:eastAsia="Tahoma" w:hAnsi="Tahoma" w:cs="Tahoma"/>
                <w:color w:val="C00000"/>
                <w:sz w:val="20"/>
                <w:szCs w:val="20"/>
              </w:rPr>
              <w:t>students</w:t>
            </w:r>
            <w:proofErr w:type="gramEnd"/>
            <w:r>
              <w:rPr>
                <w:rFonts w:ascii="Tahoma" w:eastAsia="Tahoma" w:hAnsi="Tahoma" w:cs="Tahoma"/>
                <w:color w:val="C00000"/>
                <w:sz w:val="20"/>
                <w:szCs w:val="20"/>
              </w:rPr>
              <w:t xml:space="preserve"> interest; unit questions usually have no one obvious “right” answer]</w:t>
            </w:r>
          </w:p>
        </w:tc>
      </w:tr>
    </w:tbl>
    <w:p w:rsidR="00172BEE" w:rsidRDefault="00172BE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tbl>
      <w:tblPr>
        <w:tblStyle w:val="a1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72BEE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BEE" w:rsidRDefault="000B26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Student objectives (outcomes):</w:t>
            </w:r>
          </w:p>
          <w:p w:rsidR="00172BEE" w:rsidRDefault="000B26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Students will be able to:</w:t>
            </w:r>
          </w:p>
          <w:p w:rsidR="00172BEE" w:rsidRDefault="000B268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What key knowledge and skills will students acquire as a result of this unit? </w:t>
            </w:r>
            <w:r>
              <w:rPr>
                <w:color w:val="C00000"/>
                <w:sz w:val="20"/>
                <w:szCs w:val="20"/>
              </w:rPr>
              <w:t>[These are observable, measurable outcomes that students should be able to demonstrate and that you can assess. Your assessment evidence in Stage 2 must show how you will assess these.]</w:t>
            </w:r>
          </w:p>
          <w:p w:rsidR="00172BEE" w:rsidRDefault="000B268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What should they eventually be able to do as a result of such knowledg</w:t>
            </w:r>
            <w:r>
              <w:t xml:space="preserve">e and skill? </w:t>
            </w:r>
            <w:r>
              <w:rPr>
                <w:color w:val="C00000"/>
                <w:sz w:val="20"/>
                <w:szCs w:val="20"/>
              </w:rPr>
              <w:t>[Your learning activities in Stage 3 must be designed and directly linked to having students be able to achieve the understandings, answer the essential questions, and demonstrate the desired outcomes]</w:t>
            </w:r>
          </w:p>
        </w:tc>
      </w:tr>
    </w:tbl>
    <w:p w:rsidR="00172BEE" w:rsidRDefault="000B268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rFonts w:ascii="Tahoma" w:eastAsia="Tahoma" w:hAnsi="Tahoma" w:cs="Tahoma"/>
          <w:b/>
        </w:rPr>
        <w:t>Stage 2 – Assessment Evidence</w:t>
      </w:r>
    </w:p>
    <w:tbl>
      <w:tblPr>
        <w:tblStyle w:val="a2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846"/>
      </w:tblGrid>
      <w:tr w:rsidR="00172BE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BEE" w:rsidRDefault="000B26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Performance Task(s):</w:t>
            </w:r>
          </w:p>
          <w:p w:rsidR="00172BEE" w:rsidRDefault="000B268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Through what authentic performance task(s) will students demonstrate the desired understandings? </w:t>
            </w:r>
            <w:r>
              <w:rPr>
                <w:color w:val="C00000"/>
                <w:sz w:val="20"/>
                <w:szCs w:val="20"/>
              </w:rPr>
              <w:t xml:space="preserve">[Authentic, </w:t>
            </w:r>
            <w:proofErr w:type="gramStart"/>
            <w:r>
              <w:rPr>
                <w:color w:val="C00000"/>
                <w:sz w:val="20"/>
                <w:szCs w:val="20"/>
              </w:rPr>
              <w:t>performance based</w:t>
            </w:r>
            <w:proofErr w:type="gramEnd"/>
            <w:r>
              <w:rPr>
                <w:color w:val="C00000"/>
                <w:sz w:val="20"/>
                <w:szCs w:val="20"/>
              </w:rPr>
              <w:t xml:space="preserve"> tasks that have students apply what they have learned and demonstrate their understanding. Designed at least</w:t>
            </w:r>
            <w:r>
              <w:rPr>
                <w:color w:val="C00000"/>
                <w:sz w:val="20"/>
                <w:szCs w:val="20"/>
              </w:rPr>
              <w:t xml:space="preserve"> at the application level or higher on Bloom’s Taxonomy</w:t>
            </w:r>
            <w:proofErr w:type="gramStart"/>
            <w:r>
              <w:rPr>
                <w:color w:val="C00000"/>
                <w:sz w:val="20"/>
                <w:szCs w:val="20"/>
              </w:rPr>
              <w:t>. ]</w:t>
            </w:r>
            <w:proofErr w:type="gramEnd"/>
          </w:p>
          <w:p w:rsidR="00172BEE" w:rsidRDefault="000B268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By what criteria will “performances of understanding” be judged? </w:t>
            </w:r>
            <w:r>
              <w:rPr>
                <w:color w:val="C00000"/>
                <w:sz w:val="20"/>
                <w:szCs w:val="20"/>
              </w:rPr>
              <w:t>[Rubrics can be used to guide students in self-assessment of their performance]</w:t>
            </w: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BEE" w:rsidRDefault="000B26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Other Evidence:</w:t>
            </w:r>
          </w:p>
          <w:p w:rsidR="00172BEE" w:rsidRDefault="000B268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Through what other evidence will stu</w:t>
            </w:r>
            <w:r>
              <w:t xml:space="preserve">dents demonstrate achievement of the desired results? </w:t>
            </w:r>
            <w:r>
              <w:rPr>
                <w:color w:val="C00000"/>
                <w:sz w:val="20"/>
                <w:szCs w:val="20"/>
              </w:rPr>
              <w:t>[Includes pre-assessment, formative assessment, and summative assessment evidence.  Can be individual or group based. Can include informal methods such as thumbs up, thumbs down, and formal assessments,</w:t>
            </w:r>
            <w:r>
              <w:rPr>
                <w:color w:val="C00000"/>
                <w:sz w:val="20"/>
                <w:szCs w:val="20"/>
              </w:rPr>
              <w:t xml:space="preserve"> such as quiz, answers to questions on a worksheet, written reflection, essay]</w:t>
            </w:r>
          </w:p>
        </w:tc>
      </w:tr>
    </w:tbl>
    <w:p w:rsidR="00172BEE" w:rsidRDefault="000B268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rFonts w:ascii="Tahoma" w:eastAsia="Tahoma" w:hAnsi="Tahoma" w:cs="Tahoma"/>
          <w:b/>
        </w:rPr>
        <w:t>Stage 3 – Learning Plan</w:t>
      </w:r>
    </w:p>
    <w:tbl>
      <w:tblPr>
        <w:tblStyle w:val="a3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72BEE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BEE" w:rsidRDefault="000B26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Learning Activities:</w:t>
            </w:r>
          </w:p>
          <w:p w:rsidR="00172BEE" w:rsidRDefault="000B26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lastRenderedPageBreak/>
              <w:t>[This is the core of your lesson plan and includes a listing describing briefly (easy to follow)]</w:t>
            </w:r>
          </w:p>
          <w:p w:rsidR="00172BEE" w:rsidRDefault="000B268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W= Where the unit is going?</w:t>
            </w:r>
          </w:p>
          <w:p w:rsidR="00172BEE" w:rsidRDefault="000B268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H= Hook and hold interest</w:t>
            </w:r>
          </w:p>
          <w:p w:rsidR="00172BEE" w:rsidRDefault="000B268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E= Equip all students</w:t>
            </w:r>
          </w:p>
          <w:p w:rsidR="00172BEE" w:rsidRDefault="000B268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R= Rethink and Revise their understanding</w:t>
            </w:r>
          </w:p>
          <w:p w:rsidR="00172BEE" w:rsidRDefault="000B268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E= Evaluate their work</w:t>
            </w:r>
          </w:p>
          <w:p w:rsidR="00172BEE" w:rsidRDefault="000B268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T= Tailored learning (personalization to needs)</w:t>
            </w:r>
          </w:p>
          <w:p w:rsidR="00172BEE" w:rsidRDefault="000B268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O= Organized to maximize engagement</w:t>
            </w:r>
          </w:p>
        </w:tc>
      </w:tr>
    </w:tbl>
    <w:p w:rsidR="00172BEE" w:rsidRDefault="00172BE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sectPr w:rsidR="00172BEE">
      <w:headerReference w:type="default" r:id="rId7"/>
      <w:headerReference w:type="first" r:id="rId8"/>
      <w:pgSz w:w="12240" w:h="15840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684" w:rsidRDefault="000B2684">
      <w:pPr>
        <w:spacing w:line="240" w:lineRule="auto"/>
      </w:pPr>
      <w:r>
        <w:separator/>
      </w:r>
    </w:p>
  </w:endnote>
  <w:endnote w:type="continuationSeparator" w:id="0">
    <w:p w:rsidR="000B2684" w:rsidRDefault="000B26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684" w:rsidRDefault="000B2684">
      <w:pPr>
        <w:spacing w:line="240" w:lineRule="auto"/>
      </w:pPr>
      <w:r>
        <w:separator/>
      </w:r>
    </w:p>
  </w:footnote>
  <w:footnote w:type="continuationSeparator" w:id="0">
    <w:p w:rsidR="000B2684" w:rsidRDefault="000B26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BEE" w:rsidRDefault="00172BEE">
    <w:pPr>
      <w:widowControl w:val="0"/>
      <w:jc w:val="center"/>
    </w:pPr>
  </w:p>
  <w:p w:rsidR="00172BEE" w:rsidRDefault="000B2684">
    <w:pPr>
      <w:widowControl w:val="0"/>
      <w:jc w:val="center"/>
    </w:pPr>
    <w:r>
      <w:t xml:space="preserve">Understanding </w:t>
    </w:r>
    <w:proofErr w:type="gramStart"/>
    <w:r>
      <w:t>By</w:t>
    </w:r>
    <w:proofErr w:type="gramEnd"/>
    <w:r>
      <w:t xml:space="preserve"> Design – Backwards Design Process</w:t>
    </w:r>
  </w:p>
  <w:p w:rsidR="00172BEE" w:rsidRDefault="000B2684">
    <w:pPr>
      <w:widowControl w:val="0"/>
      <w:jc w:val="center"/>
      <w:rPr>
        <w:b/>
        <w:sz w:val="28"/>
        <w:szCs w:val="28"/>
      </w:rPr>
    </w:pPr>
    <w:r>
      <w:t>(Developed by Grant Wiggins and Ja</w:t>
    </w:r>
    <w:r>
      <w:t>y McTighe, 2002)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BA3" w:rsidRDefault="00122BA3">
    <w:pPr>
      <w:widowControl w:val="0"/>
      <w:jc w:val="center"/>
    </w:pPr>
  </w:p>
  <w:p w:rsidR="00122BA3" w:rsidRDefault="00122BA3">
    <w:pPr>
      <w:widowControl w:val="0"/>
      <w:jc w:val="center"/>
    </w:pPr>
  </w:p>
  <w:p w:rsidR="00172BEE" w:rsidRDefault="000B2684">
    <w:pPr>
      <w:widowControl w:val="0"/>
      <w:jc w:val="center"/>
    </w:pPr>
    <w:r>
      <w:t xml:space="preserve">Understanding </w:t>
    </w:r>
    <w:proofErr w:type="gramStart"/>
    <w:r>
      <w:t>By</w:t>
    </w:r>
    <w:proofErr w:type="gramEnd"/>
    <w:r>
      <w:t xml:space="preserve"> Design – Backwards Design Process</w:t>
    </w:r>
  </w:p>
  <w:p w:rsidR="00172BEE" w:rsidRDefault="000B2684" w:rsidP="00122BA3">
    <w:pPr>
      <w:widowControl w:val="0"/>
      <w:jc w:val="center"/>
    </w:pPr>
    <w:r>
      <w:t>(Developed by Grant Wiggins and Jay McTighe, 2002)</w:t>
    </w:r>
    <w:r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F673C"/>
    <w:multiLevelType w:val="multilevel"/>
    <w:tmpl w:val="57F2617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36F33D6F"/>
    <w:multiLevelType w:val="multilevel"/>
    <w:tmpl w:val="FC283AF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370D372A"/>
    <w:multiLevelType w:val="multilevel"/>
    <w:tmpl w:val="2162F0F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38920B42"/>
    <w:multiLevelType w:val="multilevel"/>
    <w:tmpl w:val="3D66E1C2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Tahoma" w:hAnsi="Tahoma" w:cs="Tahoma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Tahoma" w:eastAsia="Tahoma" w:hAnsi="Tahoma" w:cs="Tahoma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Tahoma" w:eastAsia="Tahoma" w:hAnsi="Tahoma" w:cs="Tahoma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Tahoma" w:eastAsia="Tahoma" w:hAnsi="Tahoma" w:cs="Tahoma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Tahoma" w:eastAsia="Tahoma" w:hAnsi="Tahoma" w:cs="Tahoma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Tahoma" w:eastAsia="Tahoma" w:hAnsi="Tahoma" w:cs="Tahoma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Tahoma" w:eastAsia="Tahoma" w:hAnsi="Tahoma" w:cs="Tahoma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Tahoma" w:eastAsia="Tahoma" w:hAnsi="Tahoma" w:cs="Tahoma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Tahoma" w:eastAsia="Tahoma" w:hAnsi="Tahoma" w:cs="Tahoma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6AC85258"/>
    <w:multiLevelType w:val="hybridMultilevel"/>
    <w:tmpl w:val="69F44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655F0"/>
    <w:multiLevelType w:val="multilevel"/>
    <w:tmpl w:val="4D24D02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6C1822CC"/>
    <w:multiLevelType w:val="hybridMultilevel"/>
    <w:tmpl w:val="46548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8427E"/>
    <w:multiLevelType w:val="multilevel"/>
    <w:tmpl w:val="37A63A8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 w15:restartNumberingAfterBreak="0">
    <w:nsid w:val="75191773"/>
    <w:multiLevelType w:val="hybridMultilevel"/>
    <w:tmpl w:val="81AAF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BEE"/>
    <w:rsid w:val="000B2684"/>
    <w:rsid w:val="00122BA3"/>
    <w:rsid w:val="00172BEE"/>
    <w:rsid w:val="004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79E88"/>
  <w15:docId w15:val="{EB422C90-A5FD-49CB-8820-B695389F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666666"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i/>
      <w:color w:val="66666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2BA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BA3"/>
  </w:style>
  <w:style w:type="paragraph" w:styleId="Footer">
    <w:name w:val="footer"/>
    <w:basedOn w:val="Normal"/>
    <w:link w:val="FooterChar"/>
    <w:uiPriority w:val="99"/>
    <w:unhideWhenUsed/>
    <w:rsid w:val="00122BA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BA3"/>
  </w:style>
  <w:style w:type="paragraph" w:styleId="ListParagraph">
    <w:name w:val="List Paragraph"/>
    <w:basedOn w:val="Normal"/>
    <w:uiPriority w:val="34"/>
    <w:qFormat/>
    <w:rsid w:val="00122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SRJC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Mitchell, Lauren</cp:lastModifiedBy>
  <cp:revision>2</cp:revision>
  <dcterms:created xsi:type="dcterms:W3CDTF">2025-08-14T12:26:00Z</dcterms:created>
  <dcterms:modified xsi:type="dcterms:W3CDTF">2025-08-14T15:44:00Z</dcterms:modified>
</cp:coreProperties>
</file>